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ascii="华文中宋" w:hAnsi="华文中宋" w:eastAsia="华文中宋"/>
          <w:sz w:val="32"/>
          <w:szCs w:val="32"/>
        </w:rPr>
        <w:t>4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科目代码：3050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科目名称：诉讼法原理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pStyle w:val="2"/>
        <w:ind w:left="707" w:leftChars="70" w:hanging="560" w:hangingChars="2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一、刑事诉讼法学、民事诉讼法学的基本范畴</w:t>
      </w:r>
    </w:p>
    <w:p>
      <w:pPr>
        <w:pStyle w:val="2"/>
        <w:ind w:left="707" w:leftChars="70" w:hanging="560" w:hangingChars="2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（一）刑事诉讼法学的基本范畴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br w:type="textWrapping"/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刑事诉讼价值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2.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刑事诉讼目的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3.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刑事诉讼构造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4.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刑事诉讼阶段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5.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刑事诉讼法律关系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6.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刑事诉讼主体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7.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刑事诉讼职能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8.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刑事诉讼客体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9.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刑事诉讼行为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10.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刑事诉讼基本原则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11.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程序性法律后果与程序制裁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12.刑事诉讼功能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（二）民事诉讼法学的基本范畴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1.</w:t>
      </w:r>
      <w:r>
        <w:rPr>
          <w:rFonts w:hint="eastAsia"/>
          <w:sz w:val="28"/>
          <w:szCs w:val="28"/>
        </w:rPr>
        <w:t>民事纠纷、纠纷解决与民事诉讼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2.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民事诉讼目的、价值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3.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民事诉讼职能、功能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4.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民事诉讼模式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5.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民事诉讼阶段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6.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民事诉讼法律关系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7.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民事诉讼主体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8.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民事诉讼标的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9.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民事诉讼行为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10.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民事诉讼基本原则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11.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民事诉讼基本制度</w:t>
      </w:r>
    </w:p>
    <w:p>
      <w:pPr>
        <w:pStyle w:val="2"/>
        <w:ind w:left="451" w:leftChars="215" w:firstLine="280" w:firstLineChars="100"/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12.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民事诉讼判决效力</w:t>
      </w:r>
    </w:p>
    <w:p>
      <w:pPr>
        <w:pStyle w:val="2"/>
        <w:ind w:left="283" w:leftChars="79" w:hanging="117" w:hangingChars="42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二、刑事诉讼的构造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刑事诉讼的横向构造</w:t>
      </w:r>
    </w:p>
    <w:p>
      <w:pPr>
        <w:pStyle w:val="2"/>
        <w:ind w:left="140" w:leftChars="0" w:hanging="14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 xml:space="preserve">   （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）审前程序构造</w:t>
      </w:r>
    </w:p>
    <w:p>
      <w:pPr>
        <w:pStyle w:val="2"/>
        <w:ind w:left="140" w:leftChars="0" w:hanging="14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 xml:space="preserve">   （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2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）审判程序构造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2.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刑事诉讼的纵向构造</w:t>
      </w:r>
    </w:p>
    <w:p>
      <w:pPr>
        <w:pStyle w:val="2"/>
        <w:ind w:left="283" w:leftChars="79" w:hanging="117" w:hangingChars="42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三、民事诉讼当事人与法院之间的权限配置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当事人主义、职权主义、协同主义</w:t>
      </w:r>
    </w:p>
    <w:p>
      <w:pPr>
        <w:pStyle w:val="2"/>
        <w:ind w:left="140" w:leftChars="0" w:hanging="14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 xml:space="preserve">   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2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辩论主义、职权探知主义</w:t>
      </w:r>
    </w:p>
    <w:p>
      <w:pPr>
        <w:pStyle w:val="2"/>
        <w:ind w:left="140" w:leftChars="0" w:hanging="14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 xml:space="preserve">   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3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真实义务、事案解明义务、释明、法律观点指出义务</w:t>
      </w:r>
    </w:p>
    <w:p>
      <w:pPr>
        <w:rPr>
          <w:sz w:val="28"/>
          <w:szCs w:val="28"/>
        </w:rPr>
      </w:pPr>
      <w:r>
        <w:rPr>
          <w:rFonts w:hint="eastAsia"/>
        </w:rPr>
        <w:t xml:space="preserve"> </w:t>
      </w:r>
      <w:r>
        <w:t xml:space="preserve">      </w:t>
      </w:r>
      <w:r>
        <w:rPr>
          <w:sz w:val="28"/>
          <w:szCs w:val="28"/>
        </w:rPr>
        <w:t>4.</w:t>
      </w:r>
      <w:r>
        <w:rPr>
          <w:rFonts w:hint="eastAsia"/>
          <w:sz w:val="28"/>
          <w:szCs w:val="28"/>
        </w:rPr>
        <w:t>民事诉讼模式的转型</w:t>
      </w:r>
    </w:p>
    <w:p>
      <w:pPr>
        <w:rPr>
          <w:sz w:val="28"/>
          <w:szCs w:val="28"/>
        </w:rPr>
      </w:pPr>
      <w:r>
        <w:rPr>
          <w:rFonts w:hint="eastAsia"/>
        </w:rPr>
        <w:t xml:space="preserve"> </w:t>
      </w:r>
      <w:r>
        <w:t xml:space="preserve">      </w:t>
      </w:r>
      <w:r>
        <w:rPr>
          <w:sz w:val="28"/>
          <w:szCs w:val="28"/>
        </w:rPr>
        <w:t>5.</w:t>
      </w:r>
      <w:r>
        <w:rPr>
          <w:rFonts w:hint="eastAsia"/>
          <w:sz w:val="28"/>
          <w:szCs w:val="28"/>
        </w:rPr>
        <w:t>当事人诉讼权利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四、民事诉讼中检察机关的法律监督理论与程序实现</w:t>
      </w:r>
    </w:p>
    <w:p>
      <w:pPr>
        <w:pStyle w:val="2"/>
        <w:ind w:left="140" w:leftChars="0" w:hanging="14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五、程序正义理论</w:t>
      </w:r>
    </w:p>
    <w:p>
      <w:pPr>
        <w:pStyle w:val="2"/>
        <w:ind w:left="632" w:leftChars="301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程序正义与当代的程序价值理论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br w:type="textWrapping"/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2.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程序正义价值的独立性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br w:type="textWrapping"/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3.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程序正义与其他正义形态的关系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br w:type="textWrapping"/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4.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程序正义的基本构成要素</w:t>
      </w:r>
    </w:p>
    <w:p>
      <w:pPr>
        <w:pStyle w:val="2"/>
        <w:ind w:left="0" w:leftChars="0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六、认罪认罚从宽制度相关理论与实践</w:t>
      </w:r>
    </w:p>
    <w:p>
      <w:pPr>
        <w:pStyle w:val="2"/>
        <w:ind w:left="0" w:leftChars="0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七、民事公益诉讼相关理论与实践</w:t>
      </w:r>
    </w:p>
    <w:p>
      <w:pPr>
        <w:pStyle w:val="2"/>
        <w:ind w:left="0" w:leftChars="0" w:firstLine="560" w:firstLineChars="2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1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当前已立法明确可提起民事公益诉讼的案件范围</w:t>
      </w:r>
    </w:p>
    <w:p>
      <w:pPr>
        <w:pStyle w:val="2"/>
        <w:ind w:left="0" w:leftChars="0" w:firstLine="560" w:firstLineChars="2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2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民事公益诉讼与行政公益诉讼的区别</w:t>
      </w:r>
    </w:p>
    <w:p>
      <w:pPr>
        <w:pStyle w:val="2"/>
        <w:ind w:left="0" w:leftChars="0" w:firstLine="560" w:firstLineChars="2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3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民事公益诉讼的程序特殊性</w:t>
      </w:r>
    </w:p>
    <w:p>
      <w:pPr>
        <w:pStyle w:val="2"/>
        <w:ind w:left="0" w:leftChars="0" w:firstLine="560" w:firstLineChars="2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4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刑事附带民事公益诉讼</w:t>
      </w:r>
    </w:p>
    <w:p>
      <w:pPr>
        <w:pStyle w:val="2"/>
        <w:ind w:left="0" w:leftChars="0" w:firstLine="560" w:firstLineChars="2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5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检察民事公益诉讼</w:t>
      </w:r>
    </w:p>
    <w:p>
      <w:pPr>
        <w:pStyle w:val="2"/>
        <w:ind w:left="0" w:leftChars="0" w:firstLine="560" w:firstLineChars="2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6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公益诉讼相关理论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br w:type="textWrapping"/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八、刑事诉讼中的公民权利保护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br w:type="textWrapping"/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    1.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犯罪嫌疑人、被告人的诉讼权利与权利保护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2.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被害人的诉讼权利与权利保护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3.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对其他公民的权利保护</w:t>
      </w:r>
    </w:p>
    <w:p>
      <w:pPr>
        <w:pStyle w:val="2"/>
        <w:ind w:left="0" w:leftChars="0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九、刑事诉讼、民事诉讼程序原理与机制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（一）刑事诉讼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管辖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2.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回避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3.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辩护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4.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强制措施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5.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附带民事诉讼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6.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立案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7.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侦查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8.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起诉与不起诉</w:t>
      </w:r>
    </w:p>
    <w:p>
      <w:pPr>
        <w:pStyle w:val="2"/>
        <w:ind w:left="451" w:leftChars="215" w:firstLine="140" w:firstLineChars="5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9.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自诉</w:t>
      </w:r>
    </w:p>
    <w:p>
      <w:pPr>
        <w:pStyle w:val="2"/>
        <w:ind w:left="451" w:leftChars="215" w:firstLine="140" w:firstLineChars="5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10.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第一审程序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11.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简易程序、速裁程序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12.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第二审程序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13.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死刑复核程序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14.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审判监督程序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15.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未成年人刑事诉讼程序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16.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当事人和解的公诉案件诉讼程序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17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  <w:lang w:eastAsia="zh-CN"/>
        </w:rPr>
        <w:t>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缺席审判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18.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没收违法所得程序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19.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强制医疗程序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（二）民事诉讼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管辖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2.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回避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3.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合议制与独任制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4.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陪审制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5.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公开审判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6.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两审终审与例外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7.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调解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8.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起诉、立案受理、反诉、撤诉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9.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送达</w:t>
      </w:r>
    </w:p>
    <w:p>
      <w:pPr>
        <w:pStyle w:val="2"/>
        <w:ind w:left="451" w:leftChars="215" w:firstLine="140" w:firstLineChars="5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10.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保全与先予执行</w:t>
      </w:r>
    </w:p>
    <w:p>
      <w:pPr>
        <w:pStyle w:val="2"/>
        <w:ind w:left="451" w:leftChars="215" w:firstLine="140" w:firstLineChars="50"/>
        <w:rPr>
          <w:rFonts w:asciiTheme="minorHAnsi" w:hAnsiTheme="minorHAnsi" w:eastAsiaTheme="minorEastAsia" w:cstheme="minorBidi"/>
          <w:color w:val="auto"/>
          <w:sz w:val="28"/>
          <w:szCs w:val="28"/>
          <w:highlight w:val="none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11.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民事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  <w:highlight w:val="none"/>
        </w:rPr>
        <w:t>诉讼强制措施</w:t>
      </w:r>
    </w:p>
    <w:p>
      <w:pPr>
        <w:pStyle w:val="2"/>
        <w:ind w:left="483" w:leftChars="230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  <w:highlight w:val="none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  <w:highlight w:val="none"/>
        </w:rPr>
        <w:t>12.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  <w:highlight w:val="none"/>
        </w:rPr>
        <w:t>第一审普通程序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  <w:highlight w:val="none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  <w:highlight w:val="none"/>
        </w:rPr>
        <w:t>13.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  <w:highlight w:val="none"/>
        </w:rPr>
        <w:t>简易程序、小额诉讼程序</w:t>
      </w:r>
    </w:p>
    <w:p>
      <w:pPr>
        <w:rPr>
          <w:rFonts w:cstheme="minorHAnsi"/>
          <w:sz w:val="28"/>
          <w:szCs w:val="28"/>
          <w:highlight w:val="none"/>
        </w:rPr>
      </w:pPr>
      <w:r>
        <w:rPr>
          <w:rFonts w:hint="eastAsia"/>
          <w:highlight w:val="none"/>
        </w:rPr>
        <w:t xml:space="preserve"> </w:t>
      </w:r>
      <w:r>
        <w:rPr>
          <w:highlight w:val="none"/>
        </w:rPr>
        <w:t xml:space="preserve">      </w:t>
      </w:r>
      <w:r>
        <w:rPr>
          <w:rFonts w:cstheme="minorHAnsi"/>
          <w:sz w:val="28"/>
          <w:szCs w:val="28"/>
          <w:highlight w:val="none"/>
        </w:rPr>
        <w:t>14.第三人撤销之诉</w:t>
      </w:r>
    </w:p>
    <w:p>
      <w:pPr>
        <w:rPr>
          <w:sz w:val="28"/>
          <w:szCs w:val="28"/>
          <w:highlight w:val="none"/>
        </w:rPr>
      </w:pPr>
      <w:r>
        <w:rPr>
          <w:rFonts w:hint="eastAsia"/>
          <w:highlight w:val="none"/>
        </w:rPr>
        <w:t xml:space="preserve"> </w:t>
      </w:r>
      <w:r>
        <w:rPr>
          <w:highlight w:val="none"/>
        </w:rPr>
        <w:t xml:space="preserve">      </w:t>
      </w:r>
      <w:r>
        <w:rPr>
          <w:sz w:val="28"/>
          <w:szCs w:val="28"/>
          <w:highlight w:val="none"/>
        </w:rPr>
        <w:t>15.</w:t>
      </w:r>
      <w:r>
        <w:rPr>
          <w:rFonts w:hint="eastAsia"/>
          <w:sz w:val="28"/>
          <w:szCs w:val="28"/>
          <w:highlight w:val="none"/>
        </w:rPr>
        <w:t>第二审程序</w:t>
      </w:r>
      <w:bookmarkStart w:id="0" w:name="_GoBack"/>
      <w:bookmarkEnd w:id="0"/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  <w:highlight w:val="none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  <w:highlight w:val="none"/>
        </w:rPr>
        <w:t>1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  <w:highlight w:val="none"/>
          <w:lang w:val="en-US" w:eastAsia="zh-CN"/>
        </w:rPr>
        <w:t>6</w:t>
      </w:r>
      <w:r>
        <w:rPr>
          <w:rFonts w:asciiTheme="minorHAnsi" w:hAnsiTheme="minorHAnsi" w:eastAsiaTheme="minorEastAsia" w:cstheme="minorBidi"/>
          <w:color w:val="auto"/>
          <w:sz w:val="28"/>
          <w:szCs w:val="28"/>
          <w:highlight w:val="none"/>
        </w:rPr>
        <w:t>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  <w:highlight w:val="none"/>
        </w:rPr>
        <w:t>审判监督程序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  <w:highlight w:val="none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  <w:highlight w:val="none"/>
        </w:rPr>
        <w:t>1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  <w:highlight w:val="none"/>
          <w:lang w:val="en-US" w:eastAsia="zh-CN"/>
        </w:rPr>
        <w:t>7</w:t>
      </w:r>
      <w:r>
        <w:rPr>
          <w:rFonts w:asciiTheme="minorHAnsi" w:hAnsiTheme="minorHAnsi" w:eastAsiaTheme="minorEastAsia" w:cstheme="minorBidi"/>
          <w:color w:val="auto"/>
          <w:sz w:val="28"/>
          <w:szCs w:val="28"/>
          <w:highlight w:val="none"/>
        </w:rPr>
        <w:t>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  <w:highlight w:val="none"/>
        </w:rPr>
        <w:t>特别程序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  <w:highlight w:val="none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  <w:highlight w:val="none"/>
        </w:rPr>
        <w:t>1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  <w:highlight w:val="none"/>
          <w:lang w:val="en-US" w:eastAsia="zh-CN"/>
        </w:rPr>
        <w:t>8</w:t>
      </w:r>
      <w:r>
        <w:rPr>
          <w:rFonts w:asciiTheme="minorHAnsi" w:hAnsiTheme="minorHAnsi" w:eastAsiaTheme="minorEastAsia" w:cstheme="minorBidi"/>
          <w:color w:val="auto"/>
          <w:sz w:val="28"/>
          <w:szCs w:val="28"/>
          <w:highlight w:val="none"/>
        </w:rPr>
        <w:t>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  <w:highlight w:val="none"/>
        </w:rPr>
        <w:t>督促程序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  <w:highlight w:val="none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  <w:highlight w:val="none"/>
        </w:rPr>
        <w:t>1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  <w:highlight w:val="none"/>
          <w:lang w:val="en-US" w:eastAsia="zh-CN"/>
        </w:rPr>
        <w:t>9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  <w:highlight w:val="none"/>
        </w:rPr>
        <w:t>.公示催告程序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  <w:highlight w:val="none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  <w:lang w:val="en-US" w:eastAsia="zh-CN"/>
        </w:rPr>
        <w:t>20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缺席判决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  <w:highlight w:val="none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  <w:highlight w:val="none"/>
          <w:lang w:val="en-US" w:eastAsia="zh-CN"/>
        </w:rPr>
        <w:t>21</w:t>
      </w:r>
      <w:r>
        <w:rPr>
          <w:rFonts w:asciiTheme="minorHAnsi" w:hAnsiTheme="minorHAnsi" w:eastAsiaTheme="minorEastAsia" w:cstheme="minorBidi"/>
          <w:color w:val="auto"/>
          <w:sz w:val="28"/>
          <w:szCs w:val="28"/>
          <w:highlight w:val="none"/>
        </w:rPr>
        <w:t>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  <w:highlight w:val="none"/>
        </w:rPr>
        <w:t>延期审理、诉讼中止、诉讼终结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  <w:highlight w:val="none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  <w:highlight w:val="none"/>
          <w:lang w:val="en-US" w:eastAsia="zh-CN"/>
        </w:rPr>
        <w:t>22</w:t>
      </w:r>
      <w:r>
        <w:rPr>
          <w:rFonts w:asciiTheme="minorHAnsi" w:hAnsiTheme="minorHAnsi" w:eastAsiaTheme="minorEastAsia" w:cstheme="minorBidi"/>
          <w:color w:val="auto"/>
          <w:sz w:val="28"/>
          <w:szCs w:val="28"/>
          <w:highlight w:val="none"/>
        </w:rPr>
        <w:t>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  <w:highlight w:val="none"/>
        </w:rPr>
        <w:t>民事执行</w:t>
      </w:r>
    </w:p>
    <w:p>
      <w:pPr>
        <w:pStyle w:val="2"/>
        <w:ind w:left="118" w:leftChars="56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  <w:highlight w:val="none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  <w:highlight w:val="none"/>
        </w:rPr>
        <w:t>十、司法体制改革对刑事诉讼、民事诉讼的影响</w:t>
      </w:r>
    </w:p>
    <w:p>
      <w:pPr>
        <w:rPr>
          <w:highlight w:val="none"/>
        </w:rPr>
      </w:pPr>
      <w:r>
        <w:rPr>
          <w:rFonts w:hint="eastAsia"/>
          <w:sz w:val="28"/>
          <w:szCs w:val="28"/>
          <w:highlight w:val="none"/>
        </w:rPr>
        <w:t xml:space="preserve"> </w:t>
      </w:r>
      <w:r>
        <w:rPr>
          <w:rFonts w:hint="eastAsia"/>
          <w:sz w:val="28"/>
          <w:szCs w:val="28"/>
          <w:highlight w:val="none"/>
          <w:lang w:eastAsia="zh-CN"/>
        </w:rPr>
        <w:t>十一</w:t>
      </w:r>
      <w:r>
        <w:rPr>
          <w:rFonts w:hint="eastAsia"/>
          <w:sz w:val="28"/>
          <w:szCs w:val="28"/>
          <w:highlight w:val="none"/>
        </w:rPr>
        <w:t>、前沿政策对刑事诉讼、民事诉讼的影响</w:t>
      </w:r>
    </w:p>
    <w:p>
      <w:pPr>
        <w:pStyle w:val="2"/>
        <w:ind w:left="118" w:leftChars="56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  <w:highlight w:val="none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  <w:highlight w:val="none"/>
          <w:lang w:eastAsia="zh-CN"/>
        </w:rPr>
        <w:t>十二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  <w:highlight w:val="none"/>
        </w:rPr>
        <w:t>、刑事、民事证据制度</w:t>
      </w:r>
    </w:p>
    <w:p>
      <w:pPr>
        <w:pStyle w:val="2"/>
        <w:ind w:left="141" w:leftChars="67" w:firstLine="560" w:firstLineChars="200"/>
        <w:rPr>
          <w:rFonts w:asciiTheme="minorHAnsi" w:hAnsiTheme="minorHAnsi" w:eastAsiaTheme="minorEastAsia" w:cstheme="minorBidi"/>
          <w:color w:val="auto"/>
          <w:sz w:val="28"/>
          <w:szCs w:val="28"/>
          <w:highlight w:val="none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  <w:highlight w:val="none"/>
        </w:rPr>
        <w:t>1.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  <w:highlight w:val="none"/>
        </w:rPr>
        <w:t>证据学原理</w:t>
      </w:r>
    </w:p>
    <w:p>
      <w:pPr>
        <w:pStyle w:val="2"/>
        <w:ind w:left="141" w:leftChars="67" w:firstLine="560" w:firstLineChars="2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2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证据规则</w:t>
      </w:r>
    </w:p>
    <w:p>
      <w:pPr>
        <w:pStyle w:val="2"/>
        <w:ind w:left="141" w:leftChars="67" w:firstLine="560" w:firstLineChars="2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3.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证明过程</w:t>
      </w:r>
    </w:p>
    <w:p/>
    <w:p>
      <w:pPr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110BC3"/>
    <w:rsid w:val="000B410F"/>
    <w:rsid w:val="000C491C"/>
    <w:rsid w:val="000F1525"/>
    <w:rsid w:val="00110BC3"/>
    <w:rsid w:val="00115C7E"/>
    <w:rsid w:val="00120965"/>
    <w:rsid w:val="001E133B"/>
    <w:rsid w:val="001F2674"/>
    <w:rsid w:val="003E2088"/>
    <w:rsid w:val="003F252B"/>
    <w:rsid w:val="00441E44"/>
    <w:rsid w:val="004E11DE"/>
    <w:rsid w:val="00570FD1"/>
    <w:rsid w:val="00581169"/>
    <w:rsid w:val="005A17F1"/>
    <w:rsid w:val="005C5587"/>
    <w:rsid w:val="00604EFF"/>
    <w:rsid w:val="00611594"/>
    <w:rsid w:val="00614DD4"/>
    <w:rsid w:val="006C204E"/>
    <w:rsid w:val="0074544C"/>
    <w:rsid w:val="007C3E5D"/>
    <w:rsid w:val="007C5846"/>
    <w:rsid w:val="007D0512"/>
    <w:rsid w:val="007F693D"/>
    <w:rsid w:val="008052B4"/>
    <w:rsid w:val="00920B1C"/>
    <w:rsid w:val="00A119B7"/>
    <w:rsid w:val="00A75114"/>
    <w:rsid w:val="00A93D04"/>
    <w:rsid w:val="00AC1831"/>
    <w:rsid w:val="00B7125F"/>
    <w:rsid w:val="00BC7128"/>
    <w:rsid w:val="00C208A1"/>
    <w:rsid w:val="00C53949"/>
    <w:rsid w:val="00C61048"/>
    <w:rsid w:val="00C742C7"/>
    <w:rsid w:val="00CA0A26"/>
    <w:rsid w:val="00CC03EC"/>
    <w:rsid w:val="00D056D7"/>
    <w:rsid w:val="00D6573B"/>
    <w:rsid w:val="00E32798"/>
    <w:rsid w:val="00E76FA1"/>
    <w:rsid w:val="00EB67B4"/>
    <w:rsid w:val="00ED4267"/>
    <w:rsid w:val="00F300CA"/>
    <w:rsid w:val="00F32964"/>
    <w:rsid w:val="00F87223"/>
    <w:rsid w:val="053022E6"/>
    <w:rsid w:val="0AE421FA"/>
    <w:rsid w:val="0D9455B5"/>
    <w:rsid w:val="14024910"/>
    <w:rsid w:val="2D452AE2"/>
    <w:rsid w:val="3EE2512D"/>
    <w:rsid w:val="493E2DB4"/>
    <w:rsid w:val="51FC6379"/>
    <w:rsid w:val="532D5C89"/>
    <w:rsid w:val="5E2B0E7F"/>
    <w:rsid w:val="6A875B9E"/>
    <w:rsid w:val="6C7F4ADB"/>
    <w:rsid w:val="6E504B33"/>
    <w:rsid w:val="78150232"/>
    <w:rsid w:val="7E9B30B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qFormat="1" w:uiPriority="0" w:semiHidden="0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6"/>
    <w:next w:val="1"/>
    <w:unhideWhenUsed/>
    <w:qFormat/>
    <w:uiPriority w:val="0"/>
    <w:pPr>
      <w:spacing w:line="360" w:lineRule="auto"/>
      <w:ind w:left="602" w:leftChars="172" w:hanging="120" w:hangingChars="50"/>
    </w:pPr>
    <w:rPr>
      <w:rFonts w:ascii="黑体" w:hAnsi="黑体" w:eastAsia="黑体" w:cs="宋体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6</Pages>
  <Words>209</Words>
  <Characters>1194</Characters>
  <Lines>9</Lines>
  <Paragraphs>2</Paragraphs>
  <TotalTime>77</TotalTime>
  <ScaleCrop>false</ScaleCrop>
  <LinksUpToDate>false</LinksUpToDate>
  <CharactersWithSpaces>1401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2020-10-19T09:11:00Z</dcterms:created>
  <dc:creator>user</dc:creator>
  <cp:lastModifiedBy>夭桃秾李</cp:lastModifiedBy>
  <cp:lastPrinted>2020-10-28T06:24:00Z</cp:lastPrinted>
  <dcterms:modified xsi:type="dcterms:W3CDTF">2023-12-12T02:21:57Z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4DED243F777E44B1A69D5D5D7CF39BC7</vt:lpwstr>
  </property>
</Properties>
</file>